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978"/>
      </w:tblGrid>
      <w:tr w:rsidR="009A497C" w:rsidTr="009A497C">
        <w:tc>
          <w:tcPr>
            <w:tcW w:w="8978" w:type="dxa"/>
          </w:tcPr>
          <w:p w:rsidR="009A497C" w:rsidRPr="009A497C" w:rsidRDefault="005748EA" w:rsidP="005748EA">
            <w:pPr>
              <w:jc w:val="center"/>
              <w:rPr>
                <w:rFonts w:ascii="Arial" w:hAnsi="Arial" w:cs="Arial"/>
                <w:sz w:val="44"/>
                <w:szCs w:val="44"/>
              </w:rPr>
            </w:pPr>
            <w:bookmarkStart w:id="0" w:name="_GoBack"/>
            <w:bookmarkEnd w:id="0"/>
            <w:r>
              <w:rPr>
                <w:rFonts w:ascii="Arial" w:hAnsi="Arial" w:cs="Arial"/>
                <w:sz w:val="44"/>
                <w:szCs w:val="44"/>
              </w:rPr>
              <w:t xml:space="preserve">MATRIZ DE </w:t>
            </w:r>
            <w:r w:rsidR="009A497C" w:rsidRPr="009A497C">
              <w:rPr>
                <w:rFonts w:ascii="Arial" w:hAnsi="Arial" w:cs="Arial"/>
                <w:sz w:val="44"/>
                <w:szCs w:val="44"/>
              </w:rPr>
              <w:t xml:space="preserve">REQUISITOS </w:t>
            </w:r>
          </w:p>
        </w:tc>
      </w:tr>
    </w:tbl>
    <w:p w:rsidR="002B7357" w:rsidRDefault="005C10DA" w:rsidP="005C10DA">
      <w:r>
        <w:tab/>
      </w:r>
    </w:p>
    <w:tbl>
      <w:tblPr>
        <w:tblStyle w:val="Tablaconcuadrcula"/>
        <w:tblW w:w="0" w:type="auto"/>
        <w:tblLook w:val="04A0" w:firstRow="1" w:lastRow="0" w:firstColumn="1" w:lastColumn="0" w:noHBand="0" w:noVBand="1"/>
      </w:tblPr>
      <w:tblGrid>
        <w:gridCol w:w="8978"/>
      </w:tblGrid>
      <w:tr w:rsidR="002B7357" w:rsidTr="002B7357">
        <w:tc>
          <w:tcPr>
            <w:tcW w:w="8978" w:type="dxa"/>
          </w:tcPr>
          <w:p w:rsidR="002B7357" w:rsidRPr="009A497C" w:rsidRDefault="002B7357" w:rsidP="009A497C">
            <w:pPr>
              <w:jc w:val="center"/>
              <w:rPr>
                <w:rFonts w:ascii="Arial" w:hAnsi="Arial" w:cs="Arial"/>
                <w:sz w:val="40"/>
                <w:szCs w:val="40"/>
              </w:rPr>
            </w:pPr>
            <w:r w:rsidRPr="009A497C">
              <w:rPr>
                <w:rFonts w:ascii="Arial" w:hAnsi="Arial" w:cs="Arial"/>
                <w:sz w:val="40"/>
                <w:szCs w:val="40"/>
              </w:rPr>
              <w:t>Ley 9 del 79</w:t>
            </w:r>
          </w:p>
        </w:tc>
      </w:tr>
      <w:tr w:rsidR="00D01427" w:rsidTr="002B7357">
        <w:tc>
          <w:tcPr>
            <w:tcW w:w="8978" w:type="dxa"/>
          </w:tcPr>
          <w:p w:rsidR="00D01427" w:rsidRPr="009A497C" w:rsidRDefault="00D01427" w:rsidP="009A497C">
            <w:pPr>
              <w:jc w:val="center"/>
              <w:rPr>
                <w:rFonts w:ascii="Arial" w:hAnsi="Arial" w:cs="Arial"/>
                <w:sz w:val="40"/>
                <w:szCs w:val="40"/>
              </w:rPr>
            </w:pPr>
          </w:p>
        </w:tc>
      </w:tr>
      <w:tr w:rsidR="002B7357" w:rsidTr="002B7357">
        <w:tblPrEx>
          <w:tblCellMar>
            <w:left w:w="70" w:type="dxa"/>
            <w:right w:w="70" w:type="dxa"/>
          </w:tblCellMar>
          <w:tblLook w:val="0000" w:firstRow="0" w:lastRow="0" w:firstColumn="0" w:lastColumn="0" w:noHBand="0" w:noVBand="0"/>
        </w:tblPrEx>
        <w:trPr>
          <w:trHeight w:val="630"/>
        </w:trPr>
        <w:tc>
          <w:tcPr>
            <w:tcW w:w="8978" w:type="dxa"/>
          </w:tcPr>
          <w:p w:rsidR="002B7357" w:rsidRDefault="009A497C" w:rsidP="002B7357">
            <w:pPr>
              <w:spacing w:after="200" w:line="276" w:lineRule="auto"/>
              <w:ind w:left="108"/>
            </w:pPr>
            <w:r>
              <w:t>P</w:t>
            </w:r>
            <w:r w:rsidR="002B7357" w:rsidRPr="0062581C">
              <w:t>or la cual se dictan Medidas Sanitarias. El Congreso de Colombia DECRETA: TITULO I DE LA PROTECCION DEL MEDIO AMBIENTE</w:t>
            </w:r>
          </w:p>
        </w:tc>
      </w:tr>
    </w:tbl>
    <w:p w:rsidR="002B7357" w:rsidRDefault="002B7357" w:rsidP="00CC1F23"/>
    <w:tbl>
      <w:tblPr>
        <w:tblStyle w:val="Tablaconcuadrcula"/>
        <w:tblW w:w="0" w:type="auto"/>
        <w:tblLook w:val="04A0" w:firstRow="1" w:lastRow="0" w:firstColumn="1" w:lastColumn="0" w:noHBand="0" w:noVBand="1"/>
      </w:tblPr>
      <w:tblGrid>
        <w:gridCol w:w="9053"/>
      </w:tblGrid>
      <w:tr w:rsidR="002B7357" w:rsidTr="002B7357">
        <w:trPr>
          <w:trHeight w:val="285"/>
        </w:trPr>
        <w:tc>
          <w:tcPr>
            <w:tcW w:w="9053" w:type="dxa"/>
          </w:tcPr>
          <w:p w:rsidR="002B7357" w:rsidRPr="009A497C" w:rsidRDefault="002B7357" w:rsidP="009A497C">
            <w:pPr>
              <w:jc w:val="center"/>
              <w:rPr>
                <w:rFonts w:ascii="Arial" w:hAnsi="Arial" w:cs="Arial"/>
                <w:sz w:val="40"/>
                <w:szCs w:val="40"/>
              </w:rPr>
            </w:pPr>
            <w:r w:rsidRPr="009A497C">
              <w:rPr>
                <w:rFonts w:ascii="Arial" w:hAnsi="Arial" w:cs="Arial"/>
                <w:sz w:val="40"/>
                <w:szCs w:val="40"/>
              </w:rPr>
              <w:t>Ley 1562 de 2012</w:t>
            </w:r>
          </w:p>
        </w:tc>
      </w:tr>
      <w:tr w:rsidR="002B7357" w:rsidRPr="002B7357" w:rsidTr="002B7357">
        <w:trPr>
          <w:trHeight w:val="569"/>
        </w:trPr>
        <w:tc>
          <w:tcPr>
            <w:tcW w:w="9053" w:type="dxa"/>
          </w:tcPr>
          <w:p w:rsidR="002B7357" w:rsidRPr="002B7357" w:rsidRDefault="009A497C" w:rsidP="009A497C">
            <w:r>
              <w:t>P</w:t>
            </w:r>
            <w:r w:rsidRPr="002B7357">
              <w:t>or la cual se modifica el sistema de riesgos laborales y se  dictan otras disposiciones en materia de salud  ocupacional</w:t>
            </w:r>
          </w:p>
        </w:tc>
      </w:tr>
    </w:tbl>
    <w:p w:rsidR="002B7357" w:rsidRDefault="005C10DA" w:rsidP="005C10DA">
      <w:r>
        <w:tab/>
      </w:r>
    </w:p>
    <w:tbl>
      <w:tblPr>
        <w:tblStyle w:val="Tablaconcuadrcula"/>
        <w:tblW w:w="0" w:type="auto"/>
        <w:tblLook w:val="04A0" w:firstRow="1" w:lastRow="0" w:firstColumn="1" w:lastColumn="0" w:noHBand="0" w:noVBand="1"/>
      </w:tblPr>
      <w:tblGrid>
        <w:gridCol w:w="8978"/>
      </w:tblGrid>
      <w:tr w:rsidR="002B7357" w:rsidTr="002B7357">
        <w:tc>
          <w:tcPr>
            <w:tcW w:w="8978" w:type="dxa"/>
          </w:tcPr>
          <w:p w:rsidR="002B7357" w:rsidRPr="009A497C" w:rsidRDefault="002B7357" w:rsidP="009A497C">
            <w:pPr>
              <w:jc w:val="center"/>
              <w:rPr>
                <w:rFonts w:ascii="Arial" w:hAnsi="Arial" w:cs="Arial"/>
                <w:sz w:val="40"/>
                <w:szCs w:val="40"/>
              </w:rPr>
            </w:pPr>
            <w:r w:rsidRPr="009A497C">
              <w:rPr>
                <w:rFonts w:ascii="Arial" w:hAnsi="Arial" w:cs="Arial"/>
                <w:sz w:val="40"/>
                <w:szCs w:val="40"/>
              </w:rPr>
              <w:t>Decreto ley 1295 de 1994</w:t>
            </w:r>
          </w:p>
        </w:tc>
      </w:tr>
      <w:tr w:rsidR="002B7357" w:rsidTr="002B7357">
        <w:tblPrEx>
          <w:tblCellMar>
            <w:left w:w="70" w:type="dxa"/>
            <w:right w:w="70" w:type="dxa"/>
          </w:tblCellMar>
          <w:tblLook w:val="0000" w:firstRow="0" w:lastRow="0" w:firstColumn="0" w:lastColumn="0" w:noHBand="0" w:noVBand="0"/>
        </w:tblPrEx>
        <w:trPr>
          <w:trHeight w:val="465"/>
        </w:trPr>
        <w:tc>
          <w:tcPr>
            <w:tcW w:w="8978" w:type="dxa"/>
          </w:tcPr>
          <w:p w:rsidR="002B7357" w:rsidRDefault="002B7357" w:rsidP="002B7357">
            <w:pPr>
              <w:spacing w:after="200" w:line="276" w:lineRule="auto"/>
              <w:ind w:left="108"/>
            </w:pPr>
            <w:r>
              <w:t>A</w:t>
            </w:r>
            <w:r w:rsidRPr="00CC1F23">
              <w:t>DMINISTRACIÓN Y ORGANIZACIÓN DEL SISTEMA GENERAL DE RIESGOS PROFESIONALES</w:t>
            </w:r>
          </w:p>
        </w:tc>
      </w:tr>
    </w:tbl>
    <w:p w:rsidR="002B7357" w:rsidRDefault="002B7357" w:rsidP="00CC1F23"/>
    <w:tbl>
      <w:tblPr>
        <w:tblStyle w:val="Tablaconcuadrcula"/>
        <w:tblW w:w="0" w:type="auto"/>
        <w:tblLook w:val="04A0" w:firstRow="1" w:lastRow="0" w:firstColumn="1" w:lastColumn="0" w:noHBand="0" w:noVBand="1"/>
      </w:tblPr>
      <w:tblGrid>
        <w:gridCol w:w="8978"/>
      </w:tblGrid>
      <w:tr w:rsidR="002B7357" w:rsidTr="002B7357">
        <w:tc>
          <w:tcPr>
            <w:tcW w:w="8978" w:type="dxa"/>
          </w:tcPr>
          <w:p w:rsidR="002B7357" w:rsidRPr="009A497C" w:rsidRDefault="002B7357" w:rsidP="009A497C">
            <w:pPr>
              <w:jc w:val="center"/>
              <w:rPr>
                <w:rFonts w:ascii="Arial" w:hAnsi="Arial" w:cs="Arial"/>
                <w:sz w:val="40"/>
                <w:szCs w:val="40"/>
              </w:rPr>
            </w:pPr>
            <w:r w:rsidRPr="009A497C">
              <w:rPr>
                <w:rFonts w:ascii="Arial" w:hAnsi="Arial" w:cs="Arial"/>
                <w:sz w:val="40"/>
                <w:szCs w:val="40"/>
              </w:rPr>
              <w:t>Ley 100 de 1993</w:t>
            </w:r>
            <w:r w:rsidR="005748EA">
              <w:rPr>
                <w:rFonts w:ascii="Arial" w:hAnsi="Arial" w:cs="Arial"/>
                <w:sz w:val="40"/>
                <w:szCs w:val="40"/>
              </w:rPr>
              <w:t xml:space="preserve"> </w:t>
            </w:r>
          </w:p>
        </w:tc>
      </w:tr>
      <w:tr w:rsidR="002B7357" w:rsidTr="002B7357">
        <w:tblPrEx>
          <w:tblCellMar>
            <w:left w:w="70" w:type="dxa"/>
            <w:right w:w="70" w:type="dxa"/>
          </w:tblCellMar>
          <w:tblLook w:val="0000" w:firstRow="0" w:lastRow="0" w:firstColumn="0" w:lastColumn="0" w:noHBand="0" w:noVBand="0"/>
        </w:tblPrEx>
        <w:trPr>
          <w:trHeight w:val="3225"/>
        </w:trPr>
        <w:tc>
          <w:tcPr>
            <w:tcW w:w="8978" w:type="dxa"/>
          </w:tcPr>
          <w:p w:rsidR="002B7357" w:rsidRDefault="002B7357" w:rsidP="009A497C">
            <w:pPr>
              <w:spacing w:after="200" w:line="276" w:lineRule="auto"/>
              <w:ind w:left="108"/>
              <w:jc w:val="both"/>
            </w:pPr>
            <w:r w:rsidRPr="00CC1F23">
              <w:t>Por la cual se crea el sistema de seguridad social integral y se dictan otras disposiciones</w:t>
            </w:r>
            <w:r w:rsidR="009A497C">
              <w:t xml:space="preserve">  </w:t>
            </w:r>
            <w:r>
              <w:t xml:space="preserve"> La Seguridad Social Integral es el conjunto de instituciones, normas y procedimientos, de que </w:t>
            </w:r>
          </w:p>
          <w:p w:rsidR="002B7357" w:rsidRDefault="002B7357" w:rsidP="009A497C">
            <w:pPr>
              <w:spacing w:after="200" w:line="276" w:lineRule="auto"/>
              <w:ind w:left="108"/>
              <w:jc w:val="both"/>
            </w:pPr>
            <w:r>
              <w:t xml:space="preserve">disponen la persona y la comunidad para gozar de una calidad de vida, mediante el cumplimiento progresivo de los planes y programas que el Estado y la sociedad desarrollen </w:t>
            </w:r>
          </w:p>
          <w:p w:rsidR="002B7357" w:rsidRDefault="002B7357" w:rsidP="009A497C">
            <w:pPr>
              <w:spacing w:after="200" w:line="276" w:lineRule="auto"/>
              <w:ind w:left="108"/>
              <w:jc w:val="both"/>
            </w:pPr>
            <w:r>
              <w:t xml:space="preserve">para proporcionar la cobertura integral de las contingencias, especialmente las que </w:t>
            </w:r>
          </w:p>
          <w:p w:rsidR="002B7357" w:rsidRDefault="002B7357" w:rsidP="009A497C">
            <w:pPr>
              <w:spacing w:after="200" w:line="276" w:lineRule="auto"/>
              <w:ind w:left="108"/>
              <w:jc w:val="both"/>
            </w:pPr>
            <w:r>
              <w:t xml:space="preserve">menoscaban la salud y la capacidad económica, de los habitantes del territorio nacional, con el </w:t>
            </w:r>
          </w:p>
          <w:p w:rsidR="002B7357" w:rsidRDefault="002B7357" w:rsidP="009A497C">
            <w:pPr>
              <w:spacing w:after="200" w:line="276" w:lineRule="auto"/>
              <w:ind w:left="108"/>
              <w:jc w:val="both"/>
            </w:pPr>
            <w:proofErr w:type="gramStart"/>
            <w:r>
              <w:t>fin</w:t>
            </w:r>
            <w:proofErr w:type="gramEnd"/>
            <w:r>
              <w:t xml:space="preserve"> de lograr el bienestar individual y la integración de la comunidad.</w:t>
            </w:r>
          </w:p>
        </w:tc>
      </w:tr>
    </w:tbl>
    <w:p w:rsidR="00CC1F23" w:rsidRDefault="00CC1F23" w:rsidP="005C10DA"/>
    <w:tbl>
      <w:tblPr>
        <w:tblStyle w:val="Tablaconcuadrcula"/>
        <w:tblW w:w="0" w:type="auto"/>
        <w:tblLook w:val="04A0" w:firstRow="1" w:lastRow="0" w:firstColumn="1" w:lastColumn="0" w:noHBand="0" w:noVBand="1"/>
      </w:tblPr>
      <w:tblGrid>
        <w:gridCol w:w="8978"/>
      </w:tblGrid>
      <w:tr w:rsidR="00857D12" w:rsidTr="00857D12">
        <w:tc>
          <w:tcPr>
            <w:tcW w:w="8978" w:type="dxa"/>
          </w:tcPr>
          <w:p w:rsidR="00857D12" w:rsidRPr="009A497C" w:rsidRDefault="00857D12" w:rsidP="009A497C">
            <w:pPr>
              <w:jc w:val="center"/>
              <w:rPr>
                <w:rFonts w:ascii="Arial" w:hAnsi="Arial" w:cs="Arial"/>
                <w:sz w:val="40"/>
                <w:szCs w:val="40"/>
              </w:rPr>
            </w:pPr>
            <w:r w:rsidRPr="009A497C">
              <w:rPr>
                <w:rFonts w:ascii="Arial" w:hAnsi="Arial" w:cs="Arial"/>
                <w:sz w:val="40"/>
                <w:szCs w:val="40"/>
              </w:rPr>
              <w:t>Resolución 2013 de 1986</w:t>
            </w:r>
          </w:p>
        </w:tc>
      </w:tr>
      <w:tr w:rsidR="00857D12" w:rsidTr="00857D12">
        <w:tblPrEx>
          <w:tblCellMar>
            <w:left w:w="70" w:type="dxa"/>
            <w:right w:w="70" w:type="dxa"/>
          </w:tblCellMar>
          <w:tblLook w:val="0000" w:firstRow="0" w:lastRow="0" w:firstColumn="0" w:lastColumn="0" w:noHBand="0" w:noVBand="0"/>
        </w:tblPrEx>
        <w:trPr>
          <w:trHeight w:val="1275"/>
        </w:trPr>
        <w:tc>
          <w:tcPr>
            <w:tcW w:w="8978" w:type="dxa"/>
          </w:tcPr>
          <w:p w:rsidR="00BB4020" w:rsidRDefault="00BB4020" w:rsidP="00857D12">
            <w:pPr>
              <w:spacing w:after="200" w:line="276" w:lineRule="auto"/>
              <w:ind w:left="108"/>
            </w:pPr>
          </w:p>
          <w:p w:rsidR="00857D12" w:rsidRDefault="00857D12" w:rsidP="00857D12">
            <w:pPr>
              <w:spacing w:after="200" w:line="276" w:lineRule="auto"/>
              <w:ind w:left="108"/>
            </w:pPr>
            <w:r>
              <w:t>Por la cual se reglamenta la organización y funcionamiento de los comités de Medicina, Higiene y Seguridad Industrial en los lugares de trabajo</w:t>
            </w:r>
          </w:p>
        </w:tc>
      </w:tr>
    </w:tbl>
    <w:p w:rsidR="00CC1F23" w:rsidRDefault="00CC1F23" w:rsidP="00CC1F23"/>
    <w:p w:rsidR="00BB4020" w:rsidRDefault="00BB4020" w:rsidP="00CC1F23"/>
    <w:tbl>
      <w:tblPr>
        <w:tblStyle w:val="Tablaconcuadrcula"/>
        <w:tblW w:w="0" w:type="auto"/>
        <w:tblLook w:val="04A0" w:firstRow="1" w:lastRow="0" w:firstColumn="1" w:lastColumn="0" w:noHBand="0" w:noVBand="1"/>
      </w:tblPr>
      <w:tblGrid>
        <w:gridCol w:w="8978"/>
      </w:tblGrid>
      <w:tr w:rsidR="00857D12" w:rsidTr="00857D12">
        <w:tc>
          <w:tcPr>
            <w:tcW w:w="8978" w:type="dxa"/>
          </w:tcPr>
          <w:p w:rsidR="00857D12" w:rsidRPr="00BB4020" w:rsidRDefault="00857D12" w:rsidP="00BB4020">
            <w:pPr>
              <w:jc w:val="center"/>
              <w:rPr>
                <w:rFonts w:ascii="Arial" w:hAnsi="Arial" w:cs="Arial"/>
                <w:sz w:val="40"/>
                <w:szCs w:val="40"/>
              </w:rPr>
            </w:pPr>
            <w:r w:rsidRPr="00BB4020">
              <w:rPr>
                <w:rFonts w:ascii="Arial" w:hAnsi="Arial" w:cs="Arial"/>
                <w:sz w:val="40"/>
                <w:szCs w:val="40"/>
              </w:rPr>
              <w:t>Resolución 652 de 2012</w:t>
            </w:r>
          </w:p>
        </w:tc>
      </w:tr>
      <w:tr w:rsidR="00857D12" w:rsidTr="00857D12">
        <w:tblPrEx>
          <w:tblCellMar>
            <w:left w:w="70" w:type="dxa"/>
            <w:right w:w="70" w:type="dxa"/>
          </w:tblCellMar>
          <w:tblLook w:val="0000" w:firstRow="0" w:lastRow="0" w:firstColumn="0" w:lastColumn="0" w:noHBand="0" w:noVBand="0"/>
        </w:tblPrEx>
        <w:trPr>
          <w:trHeight w:val="660"/>
        </w:trPr>
        <w:tc>
          <w:tcPr>
            <w:tcW w:w="8978" w:type="dxa"/>
          </w:tcPr>
          <w:p w:rsidR="00857D12" w:rsidRDefault="00857D12" w:rsidP="00857D12">
            <w:pPr>
              <w:spacing w:after="200" w:line="276" w:lineRule="auto"/>
              <w:ind w:left="108"/>
            </w:pPr>
            <w:r>
              <w:t>Por la cual se establece la conformación y funcionamiento del Comité de Convivencia Laboral en  entidades públicas y empresas privadas y se dictan otras disposiciones</w:t>
            </w:r>
          </w:p>
        </w:tc>
      </w:tr>
    </w:tbl>
    <w:p w:rsidR="00857D12" w:rsidRDefault="00857D12" w:rsidP="005C10DA"/>
    <w:tbl>
      <w:tblPr>
        <w:tblStyle w:val="Tablaconcuadrcula"/>
        <w:tblW w:w="9039" w:type="dxa"/>
        <w:tblLook w:val="04A0" w:firstRow="1" w:lastRow="0" w:firstColumn="1" w:lastColumn="0" w:noHBand="0" w:noVBand="1"/>
      </w:tblPr>
      <w:tblGrid>
        <w:gridCol w:w="9039"/>
      </w:tblGrid>
      <w:tr w:rsidR="00857D12" w:rsidTr="00857D12">
        <w:tc>
          <w:tcPr>
            <w:tcW w:w="9039" w:type="dxa"/>
          </w:tcPr>
          <w:p w:rsidR="00857D12" w:rsidRPr="00BB4020" w:rsidRDefault="00857D12" w:rsidP="00BB4020">
            <w:pPr>
              <w:jc w:val="center"/>
              <w:rPr>
                <w:rFonts w:ascii="Arial" w:hAnsi="Arial" w:cs="Arial"/>
                <w:sz w:val="40"/>
                <w:szCs w:val="40"/>
              </w:rPr>
            </w:pPr>
            <w:r w:rsidRPr="00BB4020">
              <w:rPr>
                <w:rFonts w:ascii="Arial" w:hAnsi="Arial" w:cs="Arial"/>
                <w:sz w:val="40"/>
                <w:szCs w:val="40"/>
              </w:rPr>
              <w:t>Ley 1010 de 2006</w:t>
            </w:r>
          </w:p>
        </w:tc>
      </w:tr>
      <w:tr w:rsidR="00857D12" w:rsidTr="00857D12">
        <w:tblPrEx>
          <w:tblCellMar>
            <w:left w:w="70" w:type="dxa"/>
            <w:right w:w="70" w:type="dxa"/>
          </w:tblCellMar>
          <w:tblLook w:val="0000" w:firstRow="0" w:lastRow="0" w:firstColumn="0" w:lastColumn="0" w:noHBand="0" w:noVBand="0"/>
        </w:tblPrEx>
        <w:trPr>
          <w:trHeight w:val="7290"/>
        </w:trPr>
        <w:tc>
          <w:tcPr>
            <w:tcW w:w="9039" w:type="dxa"/>
          </w:tcPr>
          <w:p w:rsidR="00857D12" w:rsidRDefault="00857D12" w:rsidP="00BB4020">
            <w:pPr>
              <w:spacing w:after="200" w:line="276" w:lineRule="auto"/>
              <w:ind w:left="108"/>
              <w:jc w:val="both"/>
            </w:pPr>
            <w:r>
              <w:lastRenderedPageBreak/>
              <w:t>P</w:t>
            </w:r>
            <w:r w:rsidRPr="00541C03">
              <w:t>or medio de la cual se adoptan medidas para prevenir, corregir y sancionar el acoso laboral y otros hostigamientos en el marco de las relaciones de trabajo</w:t>
            </w:r>
          </w:p>
          <w:p w:rsidR="00857D12" w:rsidRDefault="00857D12" w:rsidP="00BB4020">
            <w:pPr>
              <w:spacing w:after="200" w:line="276" w:lineRule="auto"/>
              <w:ind w:left="108"/>
              <w:jc w:val="both"/>
            </w:pPr>
            <w:r>
              <w:t>Guía para la identificación de los peligros y la valoración de los riesgos en seguridad y salud ocupacional GTC 45.   El propósito general de la identificación de los peligros y la valoración de los riesgos en Seguridad y Salud Ocupacional (S y SO), es entender los peligros que se pueden generar en el desarrollo de las actividades, con el fin de que la organización pueda establecer los controles necesarios, al punto de asegurar que cualquier riesgo sea aceptable</w:t>
            </w:r>
          </w:p>
          <w:p w:rsidR="00857D12" w:rsidRDefault="00857D12" w:rsidP="00BB4020">
            <w:pPr>
              <w:spacing w:after="200" w:line="276" w:lineRule="auto"/>
              <w:ind w:left="108"/>
              <w:jc w:val="both"/>
            </w:pPr>
            <w:proofErr w:type="gramStart"/>
            <w:r>
              <w:t>PELIGRO :</w:t>
            </w:r>
            <w:proofErr w:type="gramEnd"/>
            <w:r>
              <w:t xml:space="preserve"> Fuente, situación o acto con potencial de daño en términos de enfermedad o lesión a las personas, o una combinación de éstos (NTC-OHSAS 18001).</w:t>
            </w:r>
          </w:p>
          <w:p w:rsidR="00857D12" w:rsidRDefault="00857D12" w:rsidP="00BB4020">
            <w:pPr>
              <w:spacing w:after="200" w:line="276" w:lineRule="auto"/>
              <w:ind w:left="108"/>
              <w:jc w:val="both"/>
            </w:pPr>
            <w:proofErr w:type="gramStart"/>
            <w:r>
              <w:t>RIESGO  :</w:t>
            </w:r>
            <w:proofErr w:type="gramEnd"/>
            <w:r>
              <w:t xml:space="preserve"> Combinación de la probabilidad de que ocurra(n) un(os) evento(s) o exposición(es) peligroso(s), y la severidad de lesión o enfermedad, que puede ser causado por el (los) evento(s) o la(s) exposición(es) (NTC-OHSAS 18001).</w:t>
            </w:r>
          </w:p>
          <w:p w:rsidR="00857D12" w:rsidRDefault="00857D12" w:rsidP="00BB4020">
            <w:pPr>
              <w:spacing w:after="200" w:line="276" w:lineRule="auto"/>
              <w:ind w:left="108"/>
              <w:jc w:val="both"/>
            </w:pPr>
            <w:r>
              <w:t>IDENTIFICACION DEL PELIGRO : Proceso para reconocer si existe un peligro</w:t>
            </w:r>
          </w:p>
          <w:p w:rsidR="00857D12" w:rsidRDefault="00857D12" w:rsidP="00BB4020">
            <w:pPr>
              <w:spacing w:after="200" w:line="276" w:lineRule="auto"/>
              <w:ind w:left="108"/>
              <w:jc w:val="both"/>
            </w:pPr>
            <w:r>
              <w:t>VALORACION DE RIESGO:  Proceso de evaluar el(los) riesgo(s) que surge(n) de un(os) peligro(s), teniendo en cuenta la suficiencia de los controles existentes y de decidir si el(los) riesgo(s) es (son) aceptable(s) o no</w:t>
            </w:r>
          </w:p>
          <w:p w:rsidR="00857D12" w:rsidRDefault="00857D12" w:rsidP="00BB4020">
            <w:pPr>
              <w:spacing w:after="200" w:line="276" w:lineRule="auto"/>
              <w:ind w:left="108"/>
              <w:jc w:val="both"/>
            </w:pPr>
            <w:r>
              <w:t>ACTIVIDADES PARA IDENTIFICAR LOS PELIGROS Y VALORAR LOS RIESGOS</w:t>
            </w:r>
          </w:p>
          <w:p w:rsidR="00857D12" w:rsidRDefault="00857D12" w:rsidP="00BB4020">
            <w:pPr>
              <w:spacing w:after="200" w:line="276" w:lineRule="auto"/>
              <w:ind w:left="108"/>
              <w:jc w:val="both"/>
            </w:pPr>
            <w:r>
              <w:t>-Definir el instrumento para recolectar la información: una herramienta donde se registre la información para la identificación de los peligros y valoración de los riesgos.</w:t>
            </w:r>
          </w:p>
        </w:tc>
      </w:tr>
    </w:tbl>
    <w:p w:rsidR="00541C03" w:rsidRDefault="00541C03" w:rsidP="005C10DA"/>
    <w:tbl>
      <w:tblPr>
        <w:tblStyle w:val="Tablaconcuadrcula"/>
        <w:tblW w:w="0" w:type="auto"/>
        <w:tblLook w:val="04A0" w:firstRow="1" w:lastRow="0" w:firstColumn="1" w:lastColumn="0" w:noHBand="0" w:noVBand="1"/>
      </w:tblPr>
      <w:tblGrid>
        <w:gridCol w:w="8978"/>
      </w:tblGrid>
      <w:tr w:rsidR="00857D12" w:rsidTr="00B04841">
        <w:tc>
          <w:tcPr>
            <w:tcW w:w="8978" w:type="dxa"/>
          </w:tcPr>
          <w:p w:rsidR="00857D12" w:rsidRPr="00BB4020" w:rsidRDefault="00857D12" w:rsidP="00BB4020">
            <w:pPr>
              <w:jc w:val="center"/>
              <w:rPr>
                <w:rFonts w:ascii="Arial" w:hAnsi="Arial" w:cs="Arial"/>
                <w:sz w:val="40"/>
                <w:szCs w:val="40"/>
              </w:rPr>
            </w:pPr>
            <w:r w:rsidRPr="00BB4020">
              <w:rPr>
                <w:rFonts w:ascii="Arial" w:hAnsi="Arial" w:cs="Arial"/>
                <w:sz w:val="40"/>
                <w:szCs w:val="40"/>
              </w:rPr>
              <w:t>Resolución 2400 del 79</w:t>
            </w:r>
          </w:p>
        </w:tc>
      </w:tr>
      <w:tr w:rsidR="00B04841" w:rsidTr="00B04841">
        <w:tblPrEx>
          <w:tblCellMar>
            <w:left w:w="70" w:type="dxa"/>
            <w:right w:w="70" w:type="dxa"/>
          </w:tblCellMar>
          <w:tblLook w:val="0000" w:firstRow="0" w:lastRow="0" w:firstColumn="0" w:lastColumn="0" w:noHBand="0" w:noVBand="0"/>
        </w:tblPrEx>
        <w:trPr>
          <w:trHeight w:val="1680"/>
        </w:trPr>
        <w:tc>
          <w:tcPr>
            <w:tcW w:w="8978" w:type="dxa"/>
          </w:tcPr>
          <w:p w:rsidR="00BB4020" w:rsidRDefault="00BB4020" w:rsidP="00BB4020">
            <w:pPr>
              <w:spacing w:after="200" w:line="276" w:lineRule="auto"/>
              <w:ind w:left="108"/>
            </w:pPr>
          </w:p>
          <w:p w:rsidR="00B04841" w:rsidRDefault="00B04841" w:rsidP="00BB4020">
            <w:pPr>
              <w:spacing w:after="200" w:line="276" w:lineRule="auto"/>
              <w:ind w:left="108"/>
            </w:pPr>
            <w:r>
              <w:t xml:space="preserve"> MINISTERIO DE TRABAJO Y SEGURIDAD SOCIAL </w:t>
            </w:r>
            <w:r w:rsidR="00BB4020">
              <w:t xml:space="preserve"> </w:t>
            </w:r>
            <w:r>
              <w:t>Por la cual se establecen algunas disposiciones sobre vivienda, higiene y seguridad en los establecimientos de trabajo.</w:t>
            </w:r>
          </w:p>
        </w:tc>
      </w:tr>
    </w:tbl>
    <w:p w:rsidR="00F7738E" w:rsidRDefault="00F7738E" w:rsidP="005C10DA"/>
    <w:p w:rsidR="00B04841" w:rsidRDefault="00B04841" w:rsidP="005C10DA"/>
    <w:tbl>
      <w:tblPr>
        <w:tblStyle w:val="Tablaconcuadrcula"/>
        <w:tblW w:w="0" w:type="auto"/>
        <w:tblLook w:val="04A0" w:firstRow="1" w:lastRow="0" w:firstColumn="1" w:lastColumn="0" w:noHBand="0" w:noVBand="1"/>
      </w:tblPr>
      <w:tblGrid>
        <w:gridCol w:w="8978"/>
      </w:tblGrid>
      <w:tr w:rsidR="00B04841" w:rsidTr="00B04841">
        <w:tc>
          <w:tcPr>
            <w:tcW w:w="8978" w:type="dxa"/>
          </w:tcPr>
          <w:p w:rsidR="00B04841" w:rsidRPr="00BB4020" w:rsidRDefault="00B04841" w:rsidP="00BB4020">
            <w:pPr>
              <w:jc w:val="center"/>
              <w:rPr>
                <w:rFonts w:ascii="Arial" w:hAnsi="Arial" w:cs="Arial"/>
                <w:sz w:val="40"/>
                <w:szCs w:val="40"/>
              </w:rPr>
            </w:pPr>
            <w:r w:rsidRPr="00BB4020">
              <w:rPr>
                <w:rFonts w:ascii="Arial" w:hAnsi="Arial" w:cs="Arial"/>
                <w:sz w:val="40"/>
                <w:szCs w:val="40"/>
              </w:rPr>
              <w:t>Resolución 1401 del 2007</w:t>
            </w:r>
          </w:p>
        </w:tc>
      </w:tr>
      <w:tr w:rsidR="00B04841" w:rsidTr="00B04841">
        <w:tblPrEx>
          <w:tblCellMar>
            <w:left w:w="70" w:type="dxa"/>
            <w:right w:w="70" w:type="dxa"/>
          </w:tblCellMar>
          <w:tblLook w:val="0000" w:firstRow="0" w:lastRow="0" w:firstColumn="0" w:lastColumn="0" w:noHBand="0" w:noVBand="0"/>
        </w:tblPrEx>
        <w:trPr>
          <w:trHeight w:val="278"/>
        </w:trPr>
        <w:tc>
          <w:tcPr>
            <w:tcW w:w="8978" w:type="dxa"/>
          </w:tcPr>
          <w:p w:rsidR="00BB4020" w:rsidRDefault="00BB4020" w:rsidP="00B04841">
            <w:pPr>
              <w:spacing w:after="200" w:line="276" w:lineRule="auto"/>
              <w:ind w:left="108"/>
            </w:pPr>
          </w:p>
          <w:p w:rsidR="00B04841" w:rsidRDefault="00B04841" w:rsidP="00B04841">
            <w:pPr>
              <w:spacing w:after="200" w:line="276" w:lineRule="auto"/>
              <w:ind w:left="108"/>
            </w:pPr>
            <w:r>
              <w:t>Por la cual se reglamenta la investigación de incidentes y accidentes de trabajo</w:t>
            </w:r>
          </w:p>
        </w:tc>
      </w:tr>
    </w:tbl>
    <w:p w:rsidR="00B04841" w:rsidRDefault="00B04841" w:rsidP="005C10DA"/>
    <w:p w:rsidR="00B04841" w:rsidRDefault="005C10DA" w:rsidP="00B04841">
      <w:r>
        <w:tab/>
      </w:r>
    </w:p>
    <w:tbl>
      <w:tblPr>
        <w:tblStyle w:val="Tablaconcuadrcula"/>
        <w:tblW w:w="0" w:type="auto"/>
        <w:tblLook w:val="04A0" w:firstRow="1" w:lastRow="0" w:firstColumn="1" w:lastColumn="0" w:noHBand="0" w:noVBand="1"/>
      </w:tblPr>
      <w:tblGrid>
        <w:gridCol w:w="8978"/>
      </w:tblGrid>
      <w:tr w:rsidR="00B04841" w:rsidTr="00B04841">
        <w:tc>
          <w:tcPr>
            <w:tcW w:w="8978" w:type="dxa"/>
          </w:tcPr>
          <w:p w:rsidR="00B04841" w:rsidRPr="00BB4020" w:rsidRDefault="00B04841" w:rsidP="00BB4020">
            <w:pPr>
              <w:jc w:val="center"/>
              <w:rPr>
                <w:rFonts w:ascii="Arial" w:hAnsi="Arial" w:cs="Arial"/>
                <w:sz w:val="40"/>
                <w:szCs w:val="40"/>
              </w:rPr>
            </w:pPr>
            <w:r w:rsidRPr="00BB4020">
              <w:rPr>
                <w:rFonts w:ascii="Arial" w:hAnsi="Arial" w:cs="Arial"/>
                <w:sz w:val="40"/>
                <w:szCs w:val="40"/>
              </w:rPr>
              <w:t>NTC 3701 DEL 1995</w:t>
            </w:r>
          </w:p>
        </w:tc>
      </w:tr>
      <w:tr w:rsidR="00B04841" w:rsidTr="00B04841">
        <w:tblPrEx>
          <w:tblCellMar>
            <w:left w:w="70" w:type="dxa"/>
            <w:right w:w="70" w:type="dxa"/>
          </w:tblCellMar>
          <w:tblLook w:val="0000" w:firstRow="0" w:lastRow="0" w:firstColumn="0" w:lastColumn="0" w:noHBand="0" w:noVBand="0"/>
        </w:tblPrEx>
        <w:trPr>
          <w:trHeight w:val="705"/>
        </w:trPr>
        <w:tc>
          <w:tcPr>
            <w:tcW w:w="8978" w:type="dxa"/>
          </w:tcPr>
          <w:p w:rsidR="00B04841" w:rsidRDefault="00B04841" w:rsidP="00B04841">
            <w:pPr>
              <w:spacing w:after="200" w:line="276" w:lineRule="auto"/>
              <w:ind w:left="108"/>
            </w:pPr>
            <w:r>
              <w:t>Higiene y seguridad guía para la clasificación, registro y estadística de accidentes del trabajo y enfermedades profesionales</w:t>
            </w:r>
          </w:p>
        </w:tc>
      </w:tr>
    </w:tbl>
    <w:p w:rsidR="005C10DA" w:rsidRDefault="005C10DA" w:rsidP="00B04841"/>
    <w:tbl>
      <w:tblPr>
        <w:tblStyle w:val="Tablaconcuadrcula"/>
        <w:tblW w:w="0" w:type="auto"/>
        <w:tblLook w:val="04A0" w:firstRow="1" w:lastRow="0" w:firstColumn="1" w:lastColumn="0" w:noHBand="0" w:noVBand="1"/>
      </w:tblPr>
      <w:tblGrid>
        <w:gridCol w:w="8978"/>
      </w:tblGrid>
      <w:tr w:rsidR="00D6568A" w:rsidRPr="00D6568A" w:rsidTr="00D6568A">
        <w:tc>
          <w:tcPr>
            <w:tcW w:w="8978" w:type="dxa"/>
          </w:tcPr>
          <w:p w:rsidR="00D6568A" w:rsidRPr="00BB4020" w:rsidRDefault="00D6568A" w:rsidP="00BB4020">
            <w:pPr>
              <w:jc w:val="center"/>
              <w:rPr>
                <w:rFonts w:ascii="Arial" w:hAnsi="Arial" w:cs="Arial"/>
                <w:sz w:val="40"/>
                <w:szCs w:val="40"/>
              </w:rPr>
            </w:pPr>
            <w:r w:rsidRPr="00BB4020">
              <w:rPr>
                <w:rFonts w:ascii="Arial" w:hAnsi="Arial" w:cs="Arial"/>
                <w:sz w:val="40"/>
                <w:szCs w:val="40"/>
              </w:rPr>
              <w:t>ISO NTC  90001 2000</w:t>
            </w:r>
          </w:p>
        </w:tc>
      </w:tr>
      <w:tr w:rsidR="00D6568A" w:rsidTr="00D6568A">
        <w:tblPrEx>
          <w:tblCellMar>
            <w:left w:w="70" w:type="dxa"/>
            <w:right w:w="70" w:type="dxa"/>
          </w:tblCellMar>
          <w:tblLook w:val="0000" w:firstRow="0" w:lastRow="0" w:firstColumn="0" w:lastColumn="0" w:noHBand="0" w:noVBand="0"/>
        </w:tblPrEx>
        <w:trPr>
          <w:trHeight w:val="420"/>
        </w:trPr>
        <w:tc>
          <w:tcPr>
            <w:tcW w:w="8978" w:type="dxa"/>
          </w:tcPr>
          <w:p w:rsidR="00BB4020" w:rsidRDefault="00D6568A" w:rsidP="00D6568A">
            <w:pPr>
              <w:spacing w:after="200" w:line="276" w:lineRule="auto"/>
              <w:ind w:left="108"/>
            </w:pPr>
            <w:r>
              <w:t xml:space="preserve"> </w:t>
            </w:r>
          </w:p>
          <w:p w:rsidR="00D6568A" w:rsidRDefault="00D6568A" w:rsidP="00D6568A">
            <w:pPr>
              <w:spacing w:after="200" w:line="276" w:lineRule="auto"/>
              <w:ind w:left="108"/>
            </w:pPr>
            <w:r w:rsidRPr="00B04841">
              <w:t xml:space="preserve">Especificaciones técnicas y desarrollo de la norma de certificación de </w:t>
            </w:r>
            <w:r w:rsidR="00BB4020" w:rsidRPr="00B04841">
              <w:t>gestión</w:t>
            </w:r>
            <w:r w:rsidRPr="00B04841">
              <w:t xml:space="preserve"> de la calidad</w:t>
            </w:r>
          </w:p>
        </w:tc>
      </w:tr>
    </w:tbl>
    <w:p w:rsidR="00D6568A" w:rsidRDefault="00D6568A" w:rsidP="00B04841"/>
    <w:tbl>
      <w:tblPr>
        <w:tblStyle w:val="Tablaconcuadrcula"/>
        <w:tblW w:w="0" w:type="auto"/>
        <w:tblLook w:val="04A0" w:firstRow="1" w:lastRow="0" w:firstColumn="1" w:lastColumn="0" w:noHBand="0" w:noVBand="1"/>
      </w:tblPr>
      <w:tblGrid>
        <w:gridCol w:w="8978"/>
      </w:tblGrid>
      <w:tr w:rsidR="00D6568A" w:rsidRPr="00D6568A" w:rsidTr="00D6568A">
        <w:tc>
          <w:tcPr>
            <w:tcW w:w="8978" w:type="dxa"/>
          </w:tcPr>
          <w:p w:rsidR="00D6568A" w:rsidRPr="00BB4020" w:rsidRDefault="00D6568A" w:rsidP="00BB4020">
            <w:pPr>
              <w:jc w:val="center"/>
              <w:rPr>
                <w:rFonts w:ascii="Arial" w:hAnsi="Arial" w:cs="Arial"/>
                <w:sz w:val="40"/>
                <w:szCs w:val="40"/>
              </w:rPr>
            </w:pPr>
            <w:r w:rsidRPr="00BB4020">
              <w:rPr>
                <w:rFonts w:ascii="Arial" w:hAnsi="Arial" w:cs="Arial"/>
                <w:sz w:val="40"/>
                <w:szCs w:val="40"/>
              </w:rPr>
              <w:t>14001 2007 Sistema de Gestión Ambiental ISO 14001:2004 y Alineamiento</w:t>
            </w:r>
          </w:p>
        </w:tc>
      </w:tr>
      <w:tr w:rsidR="00D6568A" w:rsidTr="00D6568A">
        <w:tblPrEx>
          <w:tblCellMar>
            <w:left w:w="70" w:type="dxa"/>
            <w:right w:w="70" w:type="dxa"/>
          </w:tblCellMar>
          <w:tblLook w:val="0000" w:firstRow="0" w:lastRow="0" w:firstColumn="0" w:lastColumn="0" w:noHBand="0" w:noVBand="0"/>
        </w:tblPrEx>
        <w:trPr>
          <w:trHeight w:val="3300"/>
        </w:trPr>
        <w:tc>
          <w:tcPr>
            <w:tcW w:w="8978" w:type="dxa"/>
          </w:tcPr>
          <w:p w:rsidR="00BB4020" w:rsidRDefault="00BB4020" w:rsidP="00BB4020">
            <w:pPr>
              <w:spacing w:after="200" w:line="276" w:lineRule="auto"/>
              <w:ind w:left="108"/>
              <w:jc w:val="both"/>
            </w:pPr>
          </w:p>
          <w:p w:rsidR="00D6568A" w:rsidRDefault="00D6568A" w:rsidP="00BB4020">
            <w:pPr>
              <w:spacing w:after="200" w:line="276" w:lineRule="auto"/>
              <w:ind w:left="108"/>
              <w:jc w:val="both"/>
            </w:pPr>
            <w:r w:rsidRPr="00D6568A">
              <w:t xml:space="preserve">La certificación ISO 14001 tiene el propósito de apoyar la aplicación de un plan de manejo ambiental en cualquier organización del sector público o privado. Fue creada por la Organización Internacional para Normalización (International </w:t>
            </w:r>
            <w:proofErr w:type="spellStart"/>
            <w:r w:rsidRPr="00D6568A">
              <w:t>Organization</w:t>
            </w:r>
            <w:proofErr w:type="spellEnd"/>
            <w:r w:rsidRPr="00D6568A">
              <w:t xml:space="preserve"> </w:t>
            </w:r>
            <w:proofErr w:type="spellStart"/>
            <w:r w:rsidRPr="00D6568A">
              <w:t>for</w:t>
            </w:r>
            <w:proofErr w:type="spellEnd"/>
            <w:r w:rsidRPr="00D6568A">
              <w:t xml:space="preserve"> </w:t>
            </w:r>
            <w:proofErr w:type="spellStart"/>
            <w:r w:rsidRPr="00D6568A">
              <w:t>Standardization</w:t>
            </w:r>
            <w:proofErr w:type="spellEnd"/>
            <w:r w:rsidRPr="00D6568A">
              <w:t xml:space="preserve"> - ISO), una red internacional de institutos de normas nacionales que trabajan en alianza con los gobiernos, la industria y representantes de los consumidores. Además de ISO 14001, existen otras normas ISO que se pueden utilizar como herramientas para proteger el ambiente, sin embargo, para obtener la certificación de protección al medio ambiente sólo se puede utilizar la norma ISO 14001. El grupo de normas ISO, que contiene diversas reglas internacionales que han sido uniformizadas y son voluntarias, se aplica ampliamente en todos los sectores de la industria.</w:t>
            </w:r>
          </w:p>
          <w:p w:rsidR="00D6568A" w:rsidRDefault="00D6568A" w:rsidP="00D6568A">
            <w:pPr>
              <w:spacing w:after="200" w:line="276" w:lineRule="auto"/>
              <w:ind w:left="108"/>
            </w:pPr>
          </w:p>
        </w:tc>
      </w:tr>
    </w:tbl>
    <w:p w:rsidR="00D6568A" w:rsidRDefault="00D6568A" w:rsidP="005C10DA"/>
    <w:p w:rsidR="00B32A66" w:rsidRDefault="00B32A66" w:rsidP="005C10DA"/>
    <w:tbl>
      <w:tblPr>
        <w:tblStyle w:val="Tablaconcuadrcula"/>
        <w:tblW w:w="0" w:type="auto"/>
        <w:tblLook w:val="04A0" w:firstRow="1" w:lastRow="0" w:firstColumn="1" w:lastColumn="0" w:noHBand="0" w:noVBand="1"/>
      </w:tblPr>
      <w:tblGrid>
        <w:gridCol w:w="8978"/>
      </w:tblGrid>
      <w:tr w:rsidR="00D6568A" w:rsidRPr="00D6568A" w:rsidTr="00C31FC0">
        <w:tc>
          <w:tcPr>
            <w:tcW w:w="8978" w:type="dxa"/>
          </w:tcPr>
          <w:p w:rsidR="00D6568A" w:rsidRPr="00971410" w:rsidRDefault="00D6568A" w:rsidP="00971410">
            <w:pPr>
              <w:jc w:val="center"/>
              <w:rPr>
                <w:rFonts w:ascii="Arial" w:hAnsi="Arial" w:cs="Arial"/>
                <w:sz w:val="40"/>
                <w:szCs w:val="40"/>
              </w:rPr>
            </w:pPr>
            <w:r w:rsidRPr="00971410">
              <w:rPr>
                <w:rFonts w:ascii="Arial" w:hAnsi="Arial" w:cs="Arial"/>
                <w:sz w:val="40"/>
                <w:szCs w:val="40"/>
              </w:rPr>
              <w:lastRenderedPageBreak/>
              <w:t>OSHA 18001 2007</w:t>
            </w:r>
          </w:p>
        </w:tc>
      </w:tr>
      <w:tr w:rsidR="00C31FC0" w:rsidTr="00C31FC0">
        <w:tblPrEx>
          <w:tblCellMar>
            <w:left w:w="70" w:type="dxa"/>
            <w:right w:w="70" w:type="dxa"/>
          </w:tblCellMar>
          <w:tblLook w:val="0000" w:firstRow="0" w:lastRow="0" w:firstColumn="0" w:lastColumn="0" w:noHBand="0" w:noVBand="0"/>
        </w:tblPrEx>
        <w:trPr>
          <w:trHeight w:val="2115"/>
        </w:trPr>
        <w:tc>
          <w:tcPr>
            <w:tcW w:w="8978" w:type="dxa"/>
          </w:tcPr>
          <w:p w:rsidR="00C31FC0" w:rsidRDefault="00C31FC0" w:rsidP="00971410">
            <w:pPr>
              <w:spacing w:after="200" w:line="276" w:lineRule="auto"/>
              <w:ind w:left="108"/>
              <w:jc w:val="both"/>
            </w:pPr>
            <w:r>
              <w:t>Sistemas de Gestión de Seguridad y Salud Ocupacional OHSAS 18001, fueron</w:t>
            </w:r>
          </w:p>
          <w:p w:rsidR="00C31FC0" w:rsidRDefault="00C31FC0" w:rsidP="00971410">
            <w:pPr>
              <w:spacing w:after="200" w:line="276" w:lineRule="auto"/>
              <w:ind w:left="108"/>
              <w:jc w:val="both"/>
            </w:pPr>
            <w:r>
              <w:t>desarrolladas en respuesta a las urgentes demandas de los clientes quienes solicitaban una</w:t>
            </w:r>
          </w:p>
          <w:p w:rsidR="00C31FC0" w:rsidRDefault="00C31FC0" w:rsidP="00971410">
            <w:pPr>
              <w:spacing w:after="200" w:line="276" w:lineRule="auto"/>
              <w:ind w:left="108"/>
              <w:jc w:val="both"/>
            </w:pPr>
            <w:r>
              <w:t>norma reconocible para el sistema de gestión de seguridad y salud ocupacional contra el</w:t>
            </w:r>
          </w:p>
          <w:p w:rsidR="00C31FC0" w:rsidRDefault="00C31FC0" w:rsidP="00971410">
            <w:pPr>
              <w:spacing w:after="200" w:line="276" w:lineRule="auto"/>
              <w:ind w:left="108"/>
              <w:jc w:val="both"/>
            </w:pPr>
            <w:proofErr w:type="gramStart"/>
            <w:r>
              <w:t>cual</w:t>
            </w:r>
            <w:proofErr w:type="gramEnd"/>
            <w:r>
              <w:t xml:space="preserve"> pudieran evaluar y certificar sus sistemas de gestión. </w:t>
            </w:r>
          </w:p>
        </w:tc>
      </w:tr>
    </w:tbl>
    <w:p w:rsidR="00C31FC0" w:rsidRDefault="00C31FC0" w:rsidP="005C10DA"/>
    <w:p w:rsidR="00C31FC0" w:rsidRDefault="00C31FC0" w:rsidP="005C10DA"/>
    <w:p w:rsidR="00C31FC0" w:rsidRDefault="00C31FC0" w:rsidP="005C10DA"/>
    <w:tbl>
      <w:tblPr>
        <w:tblStyle w:val="Tablaconcuadrcula"/>
        <w:tblW w:w="0" w:type="auto"/>
        <w:tblLook w:val="04A0" w:firstRow="1" w:lastRow="0" w:firstColumn="1" w:lastColumn="0" w:noHBand="0" w:noVBand="1"/>
      </w:tblPr>
      <w:tblGrid>
        <w:gridCol w:w="8978"/>
      </w:tblGrid>
      <w:tr w:rsidR="00C31FC0" w:rsidRPr="00C31FC0" w:rsidTr="00C31FC0">
        <w:tc>
          <w:tcPr>
            <w:tcW w:w="8978" w:type="dxa"/>
          </w:tcPr>
          <w:p w:rsidR="00C31FC0" w:rsidRPr="00971410" w:rsidRDefault="00C31FC0" w:rsidP="00971410">
            <w:pPr>
              <w:jc w:val="center"/>
              <w:rPr>
                <w:rFonts w:ascii="Arial" w:hAnsi="Arial" w:cs="Arial"/>
                <w:sz w:val="40"/>
                <w:szCs w:val="40"/>
              </w:rPr>
            </w:pPr>
            <w:r w:rsidRPr="00971410">
              <w:rPr>
                <w:rFonts w:ascii="Arial" w:hAnsi="Arial" w:cs="Arial"/>
                <w:sz w:val="40"/>
                <w:szCs w:val="40"/>
              </w:rPr>
              <w:t>Decreto 1443 del 2014</w:t>
            </w:r>
          </w:p>
        </w:tc>
      </w:tr>
      <w:tr w:rsidR="00C31FC0" w:rsidTr="00C31FC0">
        <w:tblPrEx>
          <w:tblCellMar>
            <w:left w:w="70" w:type="dxa"/>
            <w:right w:w="70" w:type="dxa"/>
          </w:tblCellMar>
          <w:tblLook w:val="0000" w:firstRow="0" w:lastRow="0" w:firstColumn="0" w:lastColumn="0" w:noHBand="0" w:noVBand="0"/>
        </w:tblPrEx>
        <w:trPr>
          <w:trHeight w:val="1770"/>
        </w:trPr>
        <w:tc>
          <w:tcPr>
            <w:tcW w:w="8978" w:type="dxa"/>
          </w:tcPr>
          <w:p w:rsidR="00C31FC0" w:rsidRDefault="00C31FC0" w:rsidP="00971410">
            <w:pPr>
              <w:spacing w:after="200" w:line="276" w:lineRule="auto"/>
              <w:ind w:left="108"/>
              <w:jc w:val="both"/>
            </w:pPr>
            <w:r>
              <w:t>Por el cual se dictan disposiciones para la implementación del sistema de gestión de seguridad y salud en el trabajo.</w:t>
            </w:r>
          </w:p>
          <w:p w:rsidR="00C31FC0" w:rsidRDefault="00C31FC0" w:rsidP="00971410">
            <w:pPr>
              <w:spacing w:after="200" w:line="276" w:lineRule="auto"/>
              <w:ind w:left="108"/>
              <w:jc w:val="both"/>
            </w:pPr>
            <w:r>
              <w:t>DEFINICIONES :  obligación de los empleadores</w:t>
            </w:r>
          </w:p>
          <w:p w:rsidR="00C31FC0" w:rsidRDefault="00C31FC0" w:rsidP="00971410">
            <w:pPr>
              <w:spacing w:after="200" w:line="276" w:lineRule="auto"/>
              <w:ind w:left="108"/>
              <w:jc w:val="both"/>
            </w:pPr>
            <w:r>
              <w:t>APLICACIÓN:  Eliminación del peligro / riesgo</w:t>
            </w:r>
          </w:p>
        </w:tc>
      </w:tr>
    </w:tbl>
    <w:p w:rsidR="00C31FC0" w:rsidRDefault="00C31FC0" w:rsidP="00C31FC0"/>
    <w:p w:rsidR="00C31FC0" w:rsidRDefault="005C10DA" w:rsidP="005C10DA">
      <w:r>
        <w:tab/>
      </w:r>
    </w:p>
    <w:tbl>
      <w:tblPr>
        <w:tblStyle w:val="Tablaconcuadrcula"/>
        <w:tblW w:w="0" w:type="auto"/>
        <w:tblLook w:val="04A0" w:firstRow="1" w:lastRow="0" w:firstColumn="1" w:lastColumn="0" w:noHBand="0" w:noVBand="1"/>
      </w:tblPr>
      <w:tblGrid>
        <w:gridCol w:w="8978"/>
      </w:tblGrid>
      <w:tr w:rsidR="00C31FC0" w:rsidTr="00C31FC0">
        <w:tc>
          <w:tcPr>
            <w:tcW w:w="8978" w:type="dxa"/>
          </w:tcPr>
          <w:p w:rsidR="00C31FC0" w:rsidRPr="00971410" w:rsidRDefault="00C31FC0" w:rsidP="00971410">
            <w:pPr>
              <w:jc w:val="center"/>
              <w:rPr>
                <w:rFonts w:ascii="Arial" w:hAnsi="Arial" w:cs="Arial"/>
              </w:rPr>
            </w:pPr>
            <w:r w:rsidRPr="00971410">
              <w:rPr>
                <w:rFonts w:ascii="Arial" w:hAnsi="Arial" w:cs="Arial"/>
              </w:rPr>
              <w:t>https://www.youtube.com/watch?v=dM5tRcVw4gQ</w:t>
            </w:r>
          </w:p>
        </w:tc>
      </w:tr>
    </w:tbl>
    <w:p w:rsidR="005C10DA" w:rsidRDefault="005C10DA" w:rsidP="005C10DA"/>
    <w:tbl>
      <w:tblPr>
        <w:tblStyle w:val="Tablaconcuadrcula"/>
        <w:tblW w:w="0" w:type="auto"/>
        <w:tblLook w:val="04A0" w:firstRow="1" w:lastRow="0" w:firstColumn="1" w:lastColumn="0" w:noHBand="0" w:noVBand="1"/>
      </w:tblPr>
      <w:tblGrid>
        <w:gridCol w:w="8978"/>
      </w:tblGrid>
      <w:tr w:rsidR="00C31FC0" w:rsidRPr="00C31FC0" w:rsidTr="00C31FC0">
        <w:tc>
          <w:tcPr>
            <w:tcW w:w="8978" w:type="dxa"/>
          </w:tcPr>
          <w:p w:rsidR="00C31FC0" w:rsidRPr="00971410" w:rsidRDefault="00C31FC0" w:rsidP="00C31FC0">
            <w:pPr>
              <w:rPr>
                <w:rFonts w:ascii="Arial" w:hAnsi="Arial" w:cs="Arial"/>
                <w:sz w:val="40"/>
                <w:szCs w:val="40"/>
              </w:rPr>
            </w:pPr>
            <w:r w:rsidRPr="00971410">
              <w:rPr>
                <w:rFonts w:ascii="Arial" w:hAnsi="Arial" w:cs="Arial"/>
                <w:sz w:val="40"/>
                <w:szCs w:val="40"/>
              </w:rPr>
              <w:t>Proyecto Educativo Institucional SENA 2013</w:t>
            </w:r>
          </w:p>
        </w:tc>
      </w:tr>
      <w:tr w:rsidR="00C31FC0" w:rsidTr="00C31FC0">
        <w:tblPrEx>
          <w:tblCellMar>
            <w:left w:w="70" w:type="dxa"/>
            <w:right w:w="70" w:type="dxa"/>
          </w:tblCellMar>
          <w:tblLook w:val="0000" w:firstRow="0" w:lastRow="0" w:firstColumn="0" w:lastColumn="0" w:noHBand="0" w:noVBand="0"/>
        </w:tblPrEx>
        <w:trPr>
          <w:trHeight w:val="645"/>
        </w:trPr>
        <w:tc>
          <w:tcPr>
            <w:tcW w:w="8978" w:type="dxa"/>
          </w:tcPr>
          <w:p w:rsidR="00C31FC0" w:rsidRDefault="00C31FC0" w:rsidP="00C31FC0">
            <w:pPr>
              <w:spacing w:after="200" w:line="276" w:lineRule="auto"/>
              <w:ind w:left="108"/>
            </w:pPr>
            <w:r w:rsidRPr="00C31FC0">
              <w:t>Dirección de Formación Profesional Integral Coordinación de Aseguramiento de la Calidad 01/01/2013 PROYECTO EDUCATIVO INSTITUCIONAL</w:t>
            </w:r>
          </w:p>
        </w:tc>
      </w:tr>
    </w:tbl>
    <w:p w:rsidR="00C31FC0" w:rsidRDefault="00C31FC0" w:rsidP="005C10DA"/>
    <w:tbl>
      <w:tblPr>
        <w:tblStyle w:val="Tablaconcuadrcula"/>
        <w:tblW w:w="0" w:type="auto"/>
        <w:tblLook w:val="04A0" w:firstRow="1" w:lastRow="0" w:firstColumn="1" w:lastColumn="0" w:noHBand="0" w:noVBand="1"/>
      </w:tblPr>
      <w:tblGrid>
        <w:gridCol w:w="8978"/>
      </w:tblGrid>
      <w:tr w:rsidR="009A497C" w:rsidRPr="009A497C" w:rsidTr="009A497C">
        <w:tc>
          <w:tcPr>
            <w:tcW w:w="8978" w:type="dxa"/>
          </w:tcPr>
          <w:p w:rsidR="009A497C" w:rsidRPr="00971410" w:rsidRDefault="009A497C" w:rsidP="00971410">
            <w:pPr>
              <w:jc w:val="center"/>
              <w:rPr>
                <w:rFonts w:ascii="Arial" w:hAnsi="Arial" w:cs="Arial"/>
                <w:sz w:val="36"/>
                <w:szCs w:val="36"/>
              </w:rPr>
            </w:pPr>
            <w:r w:rsidRPr="00971410">
              <w:rPr>
                <w:rFonts w:ascii="Arial" w:hAnsi="Arial" w:cs="Arial"/>
                <w:sz w:val="36"/>
                <w:szCs w:val="36"/>
              </w:rPr>
              <w:t>Procedimiento para la Ejecución de Acciones de Formación  Profesional Integral del SENA de 2006.</w:t>
            </w:r>
          </w:p>
        </w:tc>
      </w:tr>
      <w:tr w:rsidR="009A497C" w:rsidTr="009A497C">
        <w:tblPrEx>
          <w:tblCellMar>
            <w:left w:w="70" w:type="dxa"/>
            <w:right w:w="70" w:type="dxa"/>
          </w:tblCellMar>
          <w:tblLook w:val="0000" w:firstRow="0" w:lastRow="0" w:firstColumn="0" w:lastColumn="0" w:noHBand="0" w:noVBand="0"/>
        </w:tblPrEx>
        <w:trPr>
          <w:trHeight w:val="1740"/>
        </w:trPr>
        <w:tc>
          <w:tcPr>
            <w:tcW w:w="8978" w:type="dxa"/>
          </w:tcPr>
          <w:p w:rsidR="009A497C" w:rsidRDefault="009A497C" w:rsidP="00971410">
            <w:pPr>
              <w:spacing w:after="200" w:line="276" w:lineRule="auto"/>
              <w:ind w:left="108"/>
              <w:jc w:val="both"/>
            </w:pPr>
            <w:r>
              <w:lastRenderedPageBreak/>
              <w:t>c</w:t>
            </w:r>
            <w:r w:rsidRPr="00C31FC0">
              <w:t>aracterización de la ejecución de</w:t>
            </w:r>
            <w:r>
              <w:t xml:space="preserve"> </w:t>
            </w:r>
            <w:r w:rsidRPr="00C31FC0">
              <w:t>la formación profesional la calidad ejecución de la formación profesional responsable del coordinador académico nombre del</w:t>
            </w:r>
            <w:r>
              <w:t xml:space="preserve"> </w:t>
            </w:r>
            <w:r w:rsidRPr="00C31FC0">
              <w:t xml:space="preserve"> proceso</w:t>
            </w:r>
          </w:p>
          <w:p w:rsidR="009A497C" w:rsidRDefault="009A497C" w:rsidP="00971410">
            <w:pPr>
              <w:spacing w:after="200" w:line="276" w:lineRule="auto"/>
              <w:ind w:left="108"/>
              <w:jc w:val="both"/>
            </w:pPr>
            <w:r w:rsidRPr="00C31FC0">
              <w:t>PROCESO: Orientar y desarrollar las acciones de Formación Aplica para todas las acciones de formación Profesional</w:t>
            </w:r>
          </w:p>
        </w:tc>
      </w:tr>
    </w:tbl>
    <w:p w:rsidR="00C31FC0" w:rsidRDefault="00C31FC0" w:rsidP="009A497C"/>
    <w:sectPr w:rsidR="00C31FC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F5" w:rsidRDefault="00E923F5" w:rsidP="009D47D1">
      <w:pPr>
        <w:spacing w:after="0" w:line="240" w:lineRule="auto"/>
      </w:pPr>
      <w:r>
        <w:separator/>
      </w:r>
    </w:p>
  </w:endnote>
  <w:endnote w:type="continuationSeparator" w:id="0">
    <w:p w:rsidR="00E923F5" w:rsidRDefault="00E923F5" w:rsidP="009D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F5" w:rsidRDefault="00E923F5" w:rsidP="009D47D1">
      <w:pPr>
        <w:spacing w:after="0" w:line="240" w:lineRule="auto"/>
      </w:pPr>
      <w:r>
        <w:separator/>
      </w:r>
    </w:p>
  </w:footnote>
  <w:footnote w:type="continuationSeparator" w:id="0">
    <w:p w:rsidR="00E923F5" w:rsidRDefault="00E923F5" w:rsidP="009D4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4778"/>
      <w:gridCol w:w="2448"/>
    </w:tblGrid>
    <w:tr w:rsidR="009D47D1" w:rsidTr="009D47D1">
      <w:trPr>
        <w:jc w:val="center"/>
      </w:trPr>
      <w:tc>
        <w:tcPr>
          <w:tcW w:w="2660" w:type="dxa"/>
          <w:vMerge w:val="restart"/>
          <w:tcBorders>
            <w:top w:val="single" w:sz="4" w:space="0" w:color="auto"/>
            <w:left w:val="single" w:sz="4" w:space="0" w:color="auto"/>
            <w:bottom w:val="single" w:sz="4" w:space="0" w:color="auto"/>
            <w:right w:val="single" w:sz="4" w:space="0" w:color="auto"/>
          </w:tcBorders>
          <w:hideMark/>
        </w:tcPr>
        <w:p w:rsidR="009D47D1" w:rsidRDefault="009D47D1" w:rsidP="009D47D1">
          <w:pPr>
            <w:pStyle w:val="Encabezado"/>
            <w:jc w:val="center"/>
            <w:rPr>
              <w:rFonts w:ascii="Tahoma" w:hAnsi="Tahoma" w:cs="Tahoma"/>
              <w:lang w:val="es-CO"/>
            </w:rPr>
          </w:pPr>
          <w:r>
            <w:rPr>
              <w:noProof/>
              <w:sz w:val="52"/>
              <w:szCs w:val="52"/>
              <w:lang w:val="es-CO" w:eastAsia="es-CO"/>
            </w:rPr>
            <w:drawing>
              <wp:inline distT="0" distB="0" distL="0" distR="0">
                <wp:extent cx="9144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9D47D1" w:rsidRDefault="009D47D1" w:rsidP="009D47D1">
          <w:pPr>
            <w:pStyle w:val="Encabezado"/>
            <w:rPr>
              <w:rFonts w:ascii="Tahoma" w:hAnsi="Tahoma" w:cs="Tahoma"/>
              <w:color w:val="00B050"/>
            </w:rPr>
          </w:pPr>
          <w:r>
            <w:rPr>
              <w:rFonts w:ascii="Tahoma" w:hAnsi="Tahoma" w:cs="Tahoma"/>
              <w:noProof/>
              <w:color w:val="00B050"/>
              <w:lang w:val="es-CO" w:eastAsia="es-CO"/>
            </w:rPr>
            <mc:AlternateContent>
              <mc:Choice Requires="wps">
                <w:drawing>
                  <wp:inline distT="0" distB="0" distL="0" distR="0">
                    <wp:extent cx="1552575" cy="219075"/>
                    <wp:effectExtent l="9525" t="38100" r="28575" b="28575"/>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52575" cy="219075"/>
                            </a:xfrm>
                            <a:prstGeom prst="rect">
                              <a:avLst/>
                            </a:prstGeom>
                          </wps:spPr>
                          <wps:txbx>
                            <w:txbxContent>
                              <w:p w:rsidR="009D47D1" w:rsidRPr="009D47D1" w:rsidRDefault="009D47D1" w:rsidP="009D47D1">
                                <w:pPr>
                                  <w:pStyle w:val="NormalWeb"/>
                                  <w:spacing w:before="0" w:beforeAutospacing="0" w:after="0" w:afterAutospacing="0"/>
                                  <w:jc w:val="center"/>
                                  <w:rPr>
                                    <w:sz w:val="10"/>
                                  </w:rPr>
                                </w:pPr>
                                <w:r w:rsidRPr="009D47D1">
                                  <w:rPr>
                                    <w:rFonts w:ascii="Gisha" w:hAnsi="Gisha" w:cs="Gisha"/>
                                    <w:color w:val="00B050"/>
                                    <w:sz w:val="18"/>
                                    <w:szCs w:val="40"/>
                                    <w14:shadow w14:blurRad="0" w14:dist="35941" w14:dir="2700000" w14:sx="100000" w14:sy="100000" w14:kx="0" w14:ky="0" w14:algn="ctr">
                                      <w14:srgbClr w14:val="868686">
                                        <w14:alpha w14:val="50000"/>
                                      </w14:srgbClr>
                                    </w14:shadow>
                                    <w14:textOutline w14:w="9525" w14:cap="flat" w14:cmpd="sng" w14:algn="ctr">
                                      <w14:solidFill>
                                        <w14:srgbClr w14:val="4E6128"/>
                                      </w14:solidFill>
                                      <w14:prstDash w14:val="solid"/>
                                      <w14:round/>
                                    </w14:textOutline>
                                  </w:rPr>
                                  <w:t>MUEBLERIA LUNA VERDE</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Cuadro de texto 1" o:spid="_x0000_s1026" type="#_x0000_t202" style="width:12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" filled="f" stroked="f">
                    <o:lock v:ext="edit" shapetype="t"/>
                    <v:textbox style="mso-fit-shape-to-text:t">
                      <w:txbxContent>
                        <w:p w:rsidR="009D47D1" w:rsidRPr="009D47D1" w:rsidRDefault="009D47D1" w:rsidP="009D47D1">
                          <w:pPr>
                            <w:pStyle w:val="NormalWeb"/>
                            <w:spacing w:before="0" w:beforeAutospacing="0" w:after="0" w:afterAutospacing="0"/>
                            <w:jc w:val="center"/>
                            <w:rPr>
                              <w:sz w:val="10"/>
                            </w:rPr>
                          </w:pPr>
                          <w:r w:rsidRPr="009D47D1">
                            <w:rPr>
                              <w:rFonts w:ascii="Gisha" w:hAnsi="Gisha" w:cs="Gisha"/>
                              <w:color w:val="00B050"/>
                              <w:sz w:val="18"/>
                              <w:szCs w:val="40"/>
                              <w14:shadow w14:blurRad="0" w14:dist="35941" w14:dir="2700000" w14:sx="100000" w14:sy="100000" w14:kx="0" w14:ky="0" w14:algn="ctr">
                                <w14:srgbClr w14:val="868686">
                                  <w14:alpha w14:val="50000"/>
                                </w14:srgbClr>
                              </w14:shadow>
                              <w14:textOutline w14:w="9525" w14:cap="flat" w14:cmpd="sng" w14:algn="ctr">
                                <w14:solidFill>
                                  <w14:srgbClr w14:val="4E6128"/>
                                </w14:solidFill>
                                <w14:prstDash w14:val="solid"/>
                                <w14:round/>
                              </w14:textOutline>
                            </w:rPr>
                            <w:t>MUEBLERIA LUNA VERDE</w:t>
                          </w:r>
                        </w:p>
                      </w:txbxContent>
                    </v:textbox>
                    <w10:anchorlock/>
                  </v:shape>
                </w:pict>
              </mc:Fallback>
            </mc:AlternateContent>
          </w:r>
        </w:p>
      </w:tc>
      <w:tc>
        <w:tcPr>
          <w:tcW w:w="4780" w:type="dxa"/>
          <w:vMerge w:val="restart"/>
          <w:tcBorders>
            <w:top w:val="single" w:sz="4" w:space="0" w:color="auto"/>
            <w:left w:val="single" w:sz="4" w:space="0" w:color="auto"/>
            <w:bottom w:val="single" w:sz="4" w:space="0" w:color="auto"/>
            <w:right w:val="single" w:sz="4" w:space="0" w:color="auto"/>
          </w:tcBorders>
        </w:tcPr>
        <w:p w:rsidR="009D47D1" w:rsidRDefault="009D47D1" w:rsidP="009D47D1">
          <w:pPr>
            <w:pStyle w:val="Encabezado"/>
            <w:jc w:val="center"/>
            <w:rPr>
              <w:rFonts w:ascii="Tahoma" w:hAnsi="Tahoma" w:cs="Tahoma"/>
              <w:b/>
              <w:sz w:val="24"/>
              <w:szCs w:val="24"/>
            </w:rPr>
          </w:pPr>
        </w:p>
        <w:p w:rsidR="009D47D1" w:rsidRDefault="009D47D1" w:rsidP="009D47D1">
          <w:pPr>
            <w:pStyle w:val="Encabezado"/>
            <w:jc w:val="center"/>
            <w:rPr>
              <w:rFonts w:ascii="Tahoma" w:hAnsi="Tahoma" w:cs="Tahoma"/>
              <w:b/>
              <w:sz w:val="24"/>
              <w:szCs w:val="24"/>
            </w:rPr>
          </w:pPr>
          <w:r>
            <w:rPr>
              <w:rFonts w:ascii="Tahoma" w:hAnsi="Tahoma" w:cs="Tahoma"/>
              <w:b/>
              <w:sz w:val="24"/>
              <w:szCs w:val="24"/>
            </w:rPr>
            <w:t>MANUAL SG-SST</w:t>
          </w:r>
        </w:p>
        <w:p w:rsidR="009D47D1" w:rsidRDefault="00D01427" w:rsidP="009D47D1">
          <w:pPr>
            <w:pStyle w:val="Encabezado"/>
            <w:jc w:val="center"/>
            <w:rPr>
              <w:rFonts w:ascii="Tahoma" w:hAnsi="Tahoma" w:cs="Tahoma"/>
            </w:rPr>
          </w:pPr>
          <w:r w:rsidRPr="00D01427">
            <w:rPr>
              <w:rFonts w:ascii="Tahoma" w:hAnsi="Tahoma" w:cs="Tahoma"/>
              <w:b/>
              <w:sz w:val="24"/>
              <w:szCs w:val="24"/>
            </w:rPr>
            <w:t>MATRIZ DE REQUISITOS</w:t>
          </w:r>
        </w:p>
      </w:tc>
      <w:tc>
        <w:tcPr>
          <w:tcW w:w="2449" w:type="dxa"/>
          <w:tcBorders>
            <w:top w:val="single" w:sz="4" w:space="0" w:color="auto"/>
            <w:left w:val="single" w:sz="4" w:space="0" w:color="auto"/>
            <w:bottom w:val="single" w:sz="4" w:space="0" w:color="auto"/>
            <w:right w:val="single" w:sz="4" w:space="0" w:color="auto"/>
          </w:tcBorders>
          <w:hideMark/>
        </w:tcPr>
        <w:p w:rsidR="009D47D1" w:rsidRDefault="009D47D1" w:rsidP="009D47D1">
          <w:pPr>
            <w:pStyle w:val="Encabezado"/>
            <w:rPr>
              <w:rFonts w:ascii="Tahoma" w:hAnsi="Tahoma" w:cs="Tahoma"/>
            </w:rPr>
          </w:pPr>
          <w:r>
            <w:rPr>
              <w:rFonts w:ascii="Tahoma" w:hAnsi="Tahoma" w:cs="Tahoma"/>
            </w:rPr>
            <w:t>Código: 123</w:t>
          </w:r>
        </w:p>
      </w:tc>
    </w:tr>
    <w:tr w:rsidR="009D47D1" w:rsidTr="009D47D1">
      <w:trPr>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D47D1" w:rsidRDefault="009D47D1" w:rsidP="009D47D1">
          <w:pPr>
            <w:spacing w:after="0" w:line="240" w:lineRule="auto"/>
            <w:rPr>
              <w:rFonts w:ascii="Tahoma" w:hAnsi="Tahoma" w:cs="Tahoma"/>
              <w:color w:val="00B050"/>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9D47D1" w:rsidRDefault="009D47D1" w:rsidP="009D47D1">
          <w:pPr>
            <w:spacing w:after="0" w:line="240" w:lineRule="auto"/>
            <w:rPr>
              <w:rFonts w:ascii="Tahoma" w:hAnsi="Tahoma" w:cs="Tahoma"/>
            </w:rPr>
          </w:pPr>
        </w:p>
      </w:tc>
      <w:tc>
        <w:tcPr>
          <w:tcW w:w="2449" w:type="dxa"/>
          <w:tcBorders>
            <w:top w:val="single" w:sz="4" w:space="0" w:color="auto"/>
            <w:left w:val="single" w:sz="4" w:space="0" w:color="auto"/>
            <w:bottom w:val="single" w:sz="4" w:space="0" w:color="auto"/>
            <w:right w:val="single" w:sz="4" w:space="0" w:color="auto"/>
          </w:tcBorders>
          <w:hideMark/>
        </w:tcPr>
        <w:p w:rsidR="009D47D1" w:rsidRDefault="009D47D1" w:rsidP="009D47D1">
          <w:pPr>
            <w:pStyle w:val="Encabezado"/>
            <w:rPr>
              <w:rFonts w:ascii="Tahoma" w:hAnsi="Tahoma" w:cs="Tahoma"/>
            </w:rPr>
          </w:pPr>
          <w:r>
            <w:rPr>
              <w:rFonts w:ascii="Tahoma" w:hAnsi="Tahoma" w:cs="Tahoma"/>
            </w:rPr>
            <w:t>Versión: 001</w:t>
          </w:r>
        </w:p>
      </w:tc>
    </w:tr>
    <w:tr w:rsidR="009D47D1" w:rsidTr="009D47D1">
      <w:trPr>
        <w:trHeight w:val="877"/>
        <w:jc w:val="center"/>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D47D1" w:rsidRDefault="009D47D1" w:rsidP="009D47D1">
          <w:pPr>
            <w:spacing w:after="0" w:line="240" w:lineRule="auto"/>
            <w:rPr>
              <w:rFonts w:ascii="Tahoma" w:hAnsi="Tahoma" w:cs="Tahoma"/>
              <w:color w:val="00B050"/>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9D47D1" w:rsidRDefault="009D47D1" w:rsidP="009D47D1">
          <w:pPr>
            <w:spacing w:after="0" w:line="240" w:lineRule="auto"/>
            <w:rPr>
              <w:rFonts w:ascii="Tahoma" w:hAnsi="Tahoma" w:cs="Tahoma"/>
            </w:rPr>
          </w:pPr>
        </w:p>
      </w:tc>
      <w:tc>
        <w:tcPr>
          <w:tcW w:w="2449" w:type="dxa"/>
          <w:tcBorders>
            <w:top w:val="single" w:sz="4" w:space="0" w:color="auto"/>
            <w:left w:val="single" w:sz="4" w:space="0" w:color="auto"/>
            <w:bottom w:val="single" w:sz="4" w:space="0" w:color="auto"/>
            <w:right w:val="single" w:sz="4" w:space="0" w:color="auto"/>
          </w:tcBorders>
        </w:tcPr>
        <w:p w:rsidR="009D47D1" w:rsidRDefault="009D47D1" w:rsidP="009D47D1">
          <w:pPr>
            <w:pStyle w:val="Encabezado"/>
            <w:rPr>
              <w:rFonts w:ascii="Tahoma" w:hAnsi="Tahoma" w:cs="Tahoma"/>
            </w:rPr>
          </w:pPr>
        </w:p>
        <w:p w:rsidR="009D47D1" w:rsidRDefault="009D47D1" w:rsidP="009D47D1">
          <w:pPr>
            <w:pStyle w:val="Encabezado"/>
            <w:rPr>
              <w:rFonts w:ascii="Tahoma" w:hAnsi="Tahoma" w:cs="Tahoma"/>
            </w:rPr>
          </w:pPr>
          <w:r>
            <w:rPr>
              <w:rFonts w:ascii="Tahoma" w:hAnsi="Tahoma" w:cs="Tahoma"/>
            </w:rPr>
            <w:t>Fecha: 10 de Noviembre del 2014</w:t>
          </w:r>
        </w:p>
      </w:tc>
    </w:tr>
  </w:tbl>
  <w:p w:rsidR="009D47D1" w:rsidRDefault="009D47D1" w:rsidP="009D47D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C8"/>
    <w:rsid w:val="002B7357"/>
    <w:rsid w:val="00541C03"/>
    <w:rsid w:val="005748EA"/>
    <w:rsid w:val="005C10DA"/>
    <w:rsid w:val="0062581C"/>
    <w:rsid w:val="00857D12"/>
    <w:rsid w:val="00971410"/>
    <w:rsid w:val="009A497C"/>
    <w:rsid w:val="009D47D1"/>
    <w:rsid w:val="00A066C8"/>
    <w:rsid w:val="00AE515C"/>
    <w:rsid w:val="00B04841"/>
    <w:rsid w:val="00B23470"/>
    <w:rsid w:val="00B32A66"/>
    <w:rsid w:val="00BB4020"/>
    <w:rsid w:val="00C31FC0"/>
    <w:rsid w:val="00CC1F23"/>
    <w:rsid w:val="00D01427"/>
    <w:rsid w:val="00D6568A"/>
    <w:rsid w:val="00E923F5"/>
    <w:rsid w:val="00F7738E"/>
    <w:rsid w:val="00F92D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1E4ED-31F8-4E7C-B980-890B8524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7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9D47D1"/>
    <w:pPr>
      <w:tabs>
        <w:tab w:val="center" w:pos="4419"/>
        <w:tab w:val="right" w:pos="8838"/>
      </w:tabs>
      <w:spacing w:after="0" w:line="240" w:lineRule="auto"/>
    </w:pPr>
  </w:style>
  <w:style w:type="character" w:customStyle="1" w:styleId="EncabezadoCar">
    <w:name w:val="Encabezado Car"/>
    <w:basedOn w:val="Fuentedeprrafopredeter"/>
    <w:link w:val="Encabezado"/>
    <w:rsid w:val="009D47D1"/>
    <w:rPr>
      <w:lang w:val="es-ES"/>
    </w:rPr>
  </w:style>
  <w:style w:type="paragraph" w:styleId="Piedepgina">
    <w:name w:val="footer"/>
    <w:basedOn w:val="Normal"/>
    <w:link w:val="PiedepginaCar"/>
    <w:uiPriority w:val="99"/>
    <w:unhideWhenUsed/>
    <w:rsid w:val="009D47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7D1"/>
    <w:rPr>
      <w:lang w:val="es-ES"/>
    </w:rPr>
  </w:style>
  <w:style w:type="paragraph" w:styleId="NormalWeb">
    <w:name w:val="Normal (Web)"/>
    <w:basedOn w:val="Normal"/>
    <w:uiPriority w:val="99"/>
    <w:semiHidden/>
    <w:unhideWhenUsed/>
    <w:rsid w:val="009D47D1"/>
    <w:pPr>
      <w:spacing w:before="100" w:beforeAutospacing="1" w:after="100" w:afterAutospacing="1" w:line="240" w:lineRule="auto"/>
    </w:pPr>
    <w:rPr>
      <w:rFonts w:ascii="Times New Roman" w:eastAsiaTheme="minorEastAsia"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Nancy Villada Lopera</cp:lastModifiedBy>
  <cp:revision>4</cp:revision>
  <dcterms:created xsi:type="dcterms:W3CDTF">2014-11-26T01:01:00Z</dcterms:created>
  <dcterms:modified xsi:type="dcterms:W3CDTF">2014-12-04T11:35:00Z</dcterms:modified>
</cp:coreProperties>
</file>